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950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950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155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052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745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745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257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390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848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香河县融媒体中心</w:t>
      </w:r>
    </w:p>
    <w:p>
      <w:pPr>
        <w:snapToGrid w:val="0"/>
        <w:jc w:val="center"/>
        <w:rPr>
          <w:rFonts w:ascii="黑体" w:hAnsi="黑体" w:eastAsia="黑体" w:cs="黑体"/>
          <w:sz w:val="56"/>
          <w:szCs w:val="72"/>
        </w:rPr>
        <w:sectPr>
          <w:headerReference r:id="rId7" w:type="first"/>
          <w:footerReference r:id="rId9" w:type="first"/>
          <w:headerReference r:id="rId6" w:type="default"/>
          <w:footerReference r:id="rId8"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1" w:type="first"/>
          <w:footerReference r:id="rId13" w:type="first"/>
          <w:headerReference r:id="rId10" w:type="default"/>
          <w:footerReference r:id="rId12"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257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257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9"/>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一）贯彻执行有关广播、电视工作的路线、方针、政策；组织广播电视宣传和广播电视创作与生产；坚持正确的舆论导向，宣传县委、县政府的重大决策、中心工作及各行业的新成就；关注民情民生，加强舆论导向；加大对外宣传力度，提升香河县的影响力和美誉度。</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（二）贯彻执行国家广播电视事业的法律、法规和发展规划；拟定并组织实施县本级广播电视频率、频道发展规划和相应的管理办法，促进县级广播电视事业和产业持续健康发展。</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（三）贯彻执行国家广播电视技术政策和标准，统一管理摄录、制作、演播、播控、发射等重要技术装备；加强安全防范工作，确保广播电视安全播出。</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（四）管理和领导本台各频道、频率的工作；拟定县本级广电事业与产业发展规划并组织实施；负责广电媒体广告经营。</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（五）完成国家广播电影电视总局及河北省广播电影电视局及廊坊市文化广电新闻出版（版权）局交付的各项业务工作。</w:t>
      </w:r>
    </w:p>
    <w:p>
      <w:pPr>
        <w:ind w:firstLine="640" w:firstLineChars="200"/>
        <w:rPr>
          <w:rFonts w:hint="eastAsia" w:ascii="仿宋" w:hAnsi="仿宋" w:eastAsia="仿宋" w:cs="仿宋"/>
          <w:sz w:val="32"/>
          <w:szCs w:val="32"/>
        </w:rPr>
      </w:pPr>
      <w:r>
        <w:rPr>
          <w:rFonts w:hint="eastAsia" w:ascii="仿宋" w:hAnsi="仿宋" w:eastAsia="仿宋" w:cs="仿宋"/>
          <w:color w:val="444444"/>
          <w:kern w:val="0"/>
          <w:sz w:val="32"/>
          <w:szCs w:val="32"/>
        </w:rPr>
        <w:t>（六）加强</w:t>
      </w:r>
      <w:r>
        <w:rPr>
          <w:rFonts w:hint="eastAsia" w:ascii="仿宋" w:hAnsi="仿宋" w:eastAsia="仿宋" w:cs="仿宋"/>
          <w:sz w:val="32"/>
          <w:szCs w:val="32"/>
        </w:rPr>
        <w:t>对广播电视运营的监督管理工作。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（七）完成策划情景剧、微电影等创作摄制工作。</w:t>
      </w:r>
    </w:p>
    <w:p>
      <w:pPr>
        <w:ind w:firstLine="640" w:firstLineChars="200"/>
        <w:rPr>
          <w:rFonts w:hint="eastAsia" w:ascii="仿宋" w:hAnsi="仿宋" w:eastAsia="仿宋" w:cs="仿宋"/>
          <w:color w:val="444444"/>
          <w:kern w:val="0"/>
          <w:sz w:val="32"/>
          <w:szCs w:val="32"/>
        </w:rPr>
      </w:pPr>
      <w:r>
        <w:rPr>
          <w:rFonts w:hint="eastAsia" w:ascii="仿宋" w:hAnsi="仿宋" w:eastAsia="仿宋" w:cs="仿宋"/>
          <w:sz w:val="32"/>
          <w:szCs w:val="32"/>
        </w:rPr>
        <w:t>（八）组织重大新闻课题研究，探索广播电视节目的创新和发展，开展常态节目的收听收看评议；监看和审查不良广播电视节目内容。</w:t>
      </w:r>
    </w:p>
    <w:p>
      <w:pPr>
        <w:ind w:firstLine="640" w:firstLineChars="200"/>
        <w:rPr>
          <w:rFonts w:hint="eastAsia" w:ascii="仿宋" w:hAnsi="仿宋" w:eastAsia="仿宋" w:cs="仿宋"/>
          <w:sz w:val="32"/>
          <w:szCs w:val="32"/>
        </w:rPr>
      </w:pPr>
      <w:r>
        <w:rPr>
          <w:rFonts w:hint="eastAsia" w:ascii="仿宋" w:hAnsi="仿宋" w:eastAsia="仿宋" w:cs="仿宋"/>
          <w:color w:val="444444"/>
          <w:kern w:val="0"/>
          <w:sz w:val="32"/>
          <w:szCs w:val="32"/>
        </w:rPr>
        <w:t>（九）承办县委、县政府交办的其他事项。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廊坊市香河县融媒体中心（本级）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eastAsia="zh-CN"/>
              </w:rPr>
              <w:t>财政补助事业单位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eastAsia="zh-CN"/>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6" w:type="first"/>
          <w:headerReference r:id="rId14" w:type="default"/>
          <w:footerReference r:id="rId15"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7"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7462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7564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7564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9"/>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4119.58</w:t>
      </w:r>
      <w:r>
        <w:rPr>
          <w:rFonts w:hint="eastAsia" w:ascii="仿宋_GB2312" w:hAnsi="Times New Roman" w:eastAsia="仿宋_GB2312" w:cs="DengXian-Regular"/>
          <w:sz w:val="32"/>
          <w:szCs w:val="32"/>
        </w:rPr>
        <w:t>万元。与2018年度决算相比，收支各增加</w:t>
      </w:r>
      <w:r>
        <w:rPr>
          <w:rFonts w:hint="eastAsia" w:ascii="仿宋_GB2312" w:hAnsi="Times New Roman" w:eastAsia="仿宋_GB2312" w:cs="DengXian-Regular"/>
          <w:sz w:val="32"/>
          <w:szCs w:val="32"/>
          <w:lang w:val="en-US" w:eastAsia="zh-CN"/>
        </w:rPr>
        <w:t>982.87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31.33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本年度新增几项购置及工程改造项目</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4087.82</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3867.82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94.62</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220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5.38</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4035.66</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2983.51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73.93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1052.15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26.07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3867.82</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913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30.9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本年度新增几项购置及工程改造项目</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3835.97</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862.12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28.99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本年度新增几项购置及工程改造项目</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3867.82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120.71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663.52</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本年度追加了几项购置及工程改造项目</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3835.97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119.71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631.67</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本年度追加了几项购置及工程改造项目</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3835.97</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文化旅游体育与传媒支出</w:t>
      </w:r>
      <w:r>
        <w:rPr>
          <w:rFonts w:hint="eastAsia" w:ascii="仿宋_GB2312" w:hAnsi="Times New Roman" w:eastAsia="仿宋_GB2312" w:cs="DengXian-Regular"/>
          <w:sz w:val="32"/>
          <w:szCs w:val="32"/>
          <w:lang w:val="en-US" w:eastAsia="zh-CN"/>
        </w:rPr>
        <w:t>3835.97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2983.51</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2520.02</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463.49</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1.97</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51.84</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1.83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48.16</w:t>
      </w:r>
      <w:r>
        <w:rPr>
          <w:rFonts w:hint="eastAsia" w:ascii="仿宋_GB2312" w:hAnsi="Times New Roman" w:eastAsia="仿宋_GB2312" w:cs="DengXian-Regular"/>
          <w:sz w:val="32"/>
          <w:szCs w:val="32"/>
        </w:rPr>
        <w:t>%，主要是</w:t>
      </w:r>
      <w:r>
        <w:rPr>
          <w:rFonts w:hint="eastAsia" w:ascii="仿宋" w:hAnsi="仿宋" w:eastAsia="仿宋" w:cs="仿宋"/>
          <w:sz w:val="32"/>
          <w:szCs w:val="32"/>
          <w:lang w:val="en-US" w:eastAsia="zh-CN"/>
        </w:rPr>
        <w:t>严格压减</w:t>
      </w:r>
      <w:r>
        <w:rPr>
          <w:rFonts w:hint="eastAsia" w:ascii="仿宋" w:hAnsi="仿宋" w:eastAsia="仿宋" w:cs="仿宋"/>
          <w:color w:val="auto"/>
          <w:sz w:val="32"/>
          <w:szCs w:val="32"/>
          <w:lang w:eastAsia="zh-CN"/>
        </w:rPr>
        <w:t>公务用车运行维护费用</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1.06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116.48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本年度增加一辆业务用车运行维护经费</w:t>
      </w:r>
      <w:r>
        <w:rPr>
          <w:rFonts w:hint="eastAsia" w:ascii="仿宋_GB2312" w:hAnsi="Times New Roman" w:eastAsia="仿宋_GB2312" w:cs="DengXian-Regular"/>
          <w:sz w:val="32"/>
          <w:szCs w:val="32"/>
        </w:rPr>
        <w:t>。具体情况如下：</w:t>
      </w:r>
    </w:p>
    <w:p>
      <w:pPr>
        <w:keepNext w:val="0"/>
        <w:keepLines w:val="0"/>
        <w:pageBreakBefore w:val="0"/>
        <w:widowControl/>
        <w:numPr>
          <w:ilvl w:val="0"/>
          <w:numId w:val="0"/>
        </w:numPr>
        <w:kinsoku/>
        <w:wordWrap/>
        <w:overflowPunct/>
        <w:topLinePunct w:val="0"/>
        <w:bidi w:val="0"/>
        <w:adjustRightInd/>
        <w:spacing w:line="584" w:lineRule="exact"/>
        <w:jc w:val="left"/>
        <w:textAlignment w:val="auto"/>
        <w:outlineLvl w:val="9"/>
        <w:rPr>
          <w:rFonts w:hint="eastAsia" w:ascii="仿宋" w:hAnsi="仿宋" w:eastAsia="仿宋" w:cs="仿宋"/>
          <w:sz w:val="32"/>
          <w:szCs w:val="32"/>
          <w:highlight w:val="yellow"/>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eastAsia="仿宋_GB2312"/>
          <w:sz w:val="32"/>
          <w:szCs w:val="32"/>
        </w:rPr>
        <w:t>本部门</w:t>
      </w:r>
      <w:r>
        <w:rPr>
          <w:rFonts w:eastAsia="仿宋_GB2312"/>
          <w:sz w:val="32"/>
          <w:szCs w:val="32"/>
        </w:rPr>
        <w:t>201</w:t>
      </w:r>
      <w:r>
        <w:rPr>
          <w:rFonts w:hint="eastAsia" w:eastAsia="仿宋_GB2312"/>
          <w:sz w:val="32"/>
          <w:szCs w:val="32"/>
          <w:lang w:val="en-US" w:eastAsia="zh-CN"/>
        </w:rPr>
        <w:t>9</w:t>
      </w:r>
      <w:r>
        <w:rPr>
          <w:rFonts w:hint="eastAsia" w:eastAsia="仿宋_GB2312"/>
          <w:sz w:val="32"/>
          <w:szCs w:val="32"/>
        </w:rPr>
        <w:t>年度因公出国（境）</w:t>
      </w:r>
      <w:r>
        <w:rPr>
          <w:rFonts w:hint="eastAsia" w:eastAsia="仿宋_GB2312"/>
          <w:sz w:val="32"/>
          <w:szCs w:val="32"/>
          <w:lang w:eastAsia="zh-CN"/>
        </w:rPr>
        <w:t>团组</w:t>
      </w:r>
      <w:r>
        <w:rPr>
          <w:rFonts w:hint="eastAsia" w:eastAsia="仿宋_GB2312"/>
          <w:sz w:val="32"/>
          <w:szCs w:val="32"/>
          <w:lang w:val="en-US" w:eastAsia="zh-CN"/>
        </w:rPr>
        <w:t>0个，共0人，参加其他单位组织的因公出国（境）团组0个，共0人，无本单位组织的因公出国（境）团组，因公出国（境）费用支出较年初预算无增减变化；较2018年度决算无增减变化。</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1.97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1.83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48.16</w:t>
      </w:r>
      <w:r>
        <w:rPr>
          <w:rFonts w:hint="eastAsia" w:ascii="仿宋_GB2312" w:hAnsi="Times New Roman" w:eastAsia="仿宋_GB2312" w:cs="DengXian-Regular"/>
          <w:sz w:val="32"/>
          <w:szCs w:val="32"/>
        </w:rPr>
        <w:t>%,主要是</w:t>
      </w:r>
      <w:r>
        <w:rPr>
          <w:rFonts w:hint="eastAsia" w:ascii="仿宋" w:hAnsi="仿宋" w:eastAsia="仿宋" w:cs="仿宋"/>
          <w:sz w:val="32"/>
          <w:szCs w:val="32"/>
          <w:lang w:val="en-US" w:eastAsia="zh-CN"/>
        </w:rPr>
        <w:t>严格压减</w:t>
      </w:r>
      <w:r>
        <w:rPr>
          <w:rFonts w:hint="eastAsia" w:ascii="仿宋" w:hAnsi="仿宋" w:eastAsia="仿宋" w:cs="仿宋"/>
          <w:color w:val="auto"/>
          <w:sz w:val="32"/>
          <w:szCs w:val="32"/>
          <w:lang w:eastAsia="zh-CN"/>
        </w:rPr>
        <w:t>公务用车运行维护费用</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1.06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116.48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本年度增加一辆业务用车运行维护经费</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sz w:val="32"/>
          <w:szCs w:val="32"/>
          <w:lang w:val="en-US" w:eastAsia="zh-CN"/>
        </w:rPr>
        <w:t>2019年未发生公务用车购置费支出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1.83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48.16</w:t>
      </w:r>
      <w:r>
        <w:rPr>
          <w:rFonts w:hint="eastAsia" w:ascii="仿宋_GB2312" w:hAnsi="Times New Roman" w:eastAsia="仿宋_GB2312" w:cs="DengXian-Regular"/>
          <w:sz w:val="32"/>
          <w:szCs w:val="32"/>
        </w:rPr>
        <w:t>%,主要是</w:t>
      </w:r>
      <w:r>
        <w:rPr>
          <w:rFonts w:hint="eastAsia" w:ascii="仿宋" w:hAnsi="仿宋" w:eastAsia="仿宋" w:cs="仿宋"/>
          <w:sz w:val="32"/>
          <w:szCs w:val="32"/>
          <w:lang w:val="en-US" w:eastAsia="zh-CN"/>
        </w:rPr>
        <w:t>严格压减</w:t>
      </w:r>
      <w:r>
        <w:rPr>
          <w:rFonts w:hint="eastAsia" w:ascii="仿宋" w:hAnsi="仿宋" w:eastAsia="仿宋" w:cs="仿宋"/>
          <w:color w:val="auto"/>
          <w:sz w:val="32"/>
          <w:szCs w:val="32"/>
          <w:lang w:eastAsia="zh-CN"/>
        </w:rPr>
        <w:t>公务用车运行维护费用</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1.06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116.48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本年度增加一辆业务用车运行维护经费</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r>
        <w:rPr>
          <w:rFonts w:hint="eastAsia" w:eastAsia="仿宋_GB2312"/>
          <w:sz w:val="32"/>
          <w:szCs w:val="32"/>
        </w:rPr>
        <w:t>本部门</w:t>
      </w:r>
      <w:r>
        <w:rPr>
          <w:rFonts w:hint="eastAsia" w:ascii="仿宋" w:hAnsi="仿宋" w:eastAsia="仿宋" w:cs="仿宋"/>
          <w:sz w:val="32"/>
          <w:szCs w:val="32"/>
          <w:lang w:val="en-US" w:eastAsia="zh-CN"/>
        </w:rPr>
        <w:t>2019</w:t>
      </w:r>
      <w:r>
        <w:rPr>
          <w:rFonts w:hint="eastAsia" w:eastAsia="仿宋_GB2312"/>
          <w:sz w:val="32"/>
          <w:szCs w:val="32"/>
        </w:rPr>
        <w:t>年度</w:t>
      </w:r>
      <w:r>
        <w:rPr>
          <w:rFonts w:hint="eastAsia" w:eastAsia="仿宋_GB2312"/>
          <w:sz w:val="32"/>
          <w:szCs w:val="32"/>
          <w:lang w:eastAsia="zh-CN"/>
        </w:rPr>
        <w:t>未发生公务接待费支出。</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852.47</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改造演播中心质保金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电视标清系统改造为高清系统质保金</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852.47</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w:t>
      </w:r>
      <w:r>
        <w:rPr>
          <w:rFonts w:hint="eastAsia" w:ascii="仿宋_GB2312" w:eastAsia="仿宋_GB2312" w:cs="DengXian-Regular"/>
          <w:sz w:val="32"/>
          <w:szCs w:val="32"/>
        </w:rPr>
        <w:t>我单位在201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年较好的完成了部门整体绩效目标，各个项目均按照年初既定的绩效目标有效开展，在实施过程中，严格控制经费的管理和使用，保证财政资金用到实处</w:t>
      </w:r>
      <w:r>
        <w:rPr>
          <w:rFonts w:hint="eastAsia" w:ascii="仿宋_GB2312" w:eastAsia="仿宋_GB2312" w:cs="DengXian-Regular"/>
          <w:sz w:val="32"/>
          <w:szCs w:val="32"/>
          <w:lang w:eastAsia="zh-CN"/>
        </w:rPr>
        <w:t>，</w:t>
      </w:r>
      <w:r>
        <w:rPr>
          <w:rFonts w:hint="eastAsia" w:ascii="仿宋_GB2312" w:eastAsia="仿宋_GB2312" w:cs="DengXian-Regular"/>
          <w:sz w:val="32"/>
          <w:szCs w:val="32"/>
        </w:rPr>
        <w:t>取得了实打实的成效。通过自评，我部门绩效评价覆盖率达到100%，评价结果为优。</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了“电视标清系统改造为高清系统质保金”</w:t>
      </w:r>
      <w:r>
        <w:rPr>
          <w:rFonts w:hint="eastAsia" w:ascii="仿宋_GB2312" w:hAnsi="仿宋_GB2312" w:eastAsia="仿宋_GB2312" w:cs="仿宋_GB2312"/>
          <w:sz w:val="32"/>
          <w:szCs w:val="32"/>
        </w:rPr>
        <w:t xml:space="preserve">项目及 </w:t>
      </w:r>
      <w:r>
        <w:rPr>
          <w:rFonts w:hint="eastAsia" w:ascii="仿宋_GB2312" w:hAnsi="仿宋_GB2312" w:eastAsia="仿宋_GB2312" w:cs="仿宋_GB2312"/>
          <w:sz w:val="32"/>
          <w:szCs w:val="32"/>
          <w:lang w:eastAsia="zh-CN"/>
        </w:rPr>
        <w:t>“改造演播中心质保金”</w:t>
      </w:r>
      <w:r>
        <w:rPr>
          <w:rFonts w:hint="eastAsia" w:ascii="仿宋_GB2312" w:hAnsi="仿宋_GB2312" w:eastAsia="仿宋_GB2312" w:cs="仿宋_GB2312"/>
          <w:sz w:val="32"/>
          <w:szCs w:val="32"/>
        </w:rPr>
        <w:t xml:space="preserve"> 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电视标清系统改造为高清系统质保金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电视标清系统改造为高清系统质保金</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12月底前完成质保金支付</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在系统无故障前提下全额支付质保金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eastAsia="zh-CN"/>
        </w:rPr>
        <w:t>明显</w:t>
      </w:r>
      <w:r>
        <w:rPr>
          <w:rFonts w:hint="eastAsia" w:ascii="仿宋_GB2312" w:hAnsi="仿宋_GB2312" w:eastAsia="仿宋_GB2312" w:cs="仿宋_GB2312"/>
          <w:sz w:val="32"/>
          <w:szCs w:val="32"/>
        </w:rPr>
        <w:t>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改造演播中心质保金</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改造演播中心质保金</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11.44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11.44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12月底前完成质保金支付</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在演播中心无故障使用前提下全额支付质保金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eastAsia="zh-CN"/>
        </w:rPr>
        <w:t>明显</w:t>
      </w:r>
      <w:r>
        <w:rPr>
          <w:rFonts w:hint="eastAsia" w:ascii="仿宋_GB2312" w:hAnsi="仿宋_GB2312" w:eastAsia="仿宋_GB2312" w:cs="仿宋_GB2312"/>
          <w:sz w:val="32"/>
          <w:szCs w:val="32"/>
        </w:rPr>
        <w:t>问题。</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财政评价项目绩效评价结果</w:t>
      </w:r>
    </w:p>
    <w:p>
      <w:pPr>
        <w:keepNext w:val="0"/>
        <w:keepLines w:val="0"/>
        <w:pageBreakBefore w:val="0"/>
        <w:widowControl w:val="0"/>
        <w:numPr>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我部门无财政评价项目绩效评价结果。</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bookmarkStart w:id="0" w:name="_GoBack"/>
      <w:bookmarkEnd w:id="0"/>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eastAsia="仿宋_GB2312" w:cs="DengXian-Regular"/>
          <w:sz w:val="32"/>
          <w:szCs w:val="32"/>
          <w:lang w:eastAsia="zh-CN"/>
        </w:rPr>
        <w:t>我部门为事业单位，无机关运行经费支出。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974.6</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844.45</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130.15</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业务保障用车</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eastAsia="仿宋_GB2312" w:cs="DengXian-Regular"/>
          <w:sz w:val="32"/>
          <w:szCs w:val="32"/>
          <w:lang w:eastAsia="zh-CN"/>
        </w:rPr>
        <w:t>“</w:t>
      </w:r>
      <w:r>
        <w:rPr>
          <w:rFonts w:hint="eastAsia" w:ascii="仿宋_GB2312" w:eastAsia="仿宋_GB2312" w:cs="DengXian-Regular"/>
          <w:sz w:val="32"/>
          <w:szCs w:val="32"/>
        </w:rPr>
        <w:t>政府性基金预算财政拨款收入支出决算表</w:t>
      </w:r>
      <w:r>
        <w:rPr>
          <w:rFonts w:hint="eastAsia" w:ascii="仿宋_GB2312" w:eastAsia="仿宋_GB2312" w:cs="DengXian-Regular"/>
          <w:sz w:val="32"/>
          <w:szCs w:val="32"/>
          <w:lang w:eastAsia="zh-CN"/>
        </w:rPr>
        <w:t>”“国有资本经营预算财政拨款支出决算表”</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eastAsia="zh-CN"/>
        </w:rPr>
        <w:t>“</w:t>
      </w:r>
      <w:r>
        <w:rPr>
          <w:rFonts w:hint="eastAsia" w:ascii="仿宋_GB2312" w:eastAsia="仿宋_GB2312" w:cs="DengXian-Regular"/>
          <w:sz w:val="32"/>
          <w:szCs w:val="32"/>
        </w:rPr>
        <w:t>政府性基金预算财政拨款收入支出决算表</w:t>
      </w:r>
      <w:r>
        <w:rPr>
          <w:rFonts w:hint="eastAsia" w:ascii="仿宋_GB2312" w:eastAsia="仿宋_GB2312" w:cs="DengXian-Regular"/>
          <w:sz w:val="32"/>
          <w:szCs w:val="32"/>
          <w:lang w:eastAsia="zh-CN"/>
        </w:rPr>
        <w:t>”“国有资本经营预算财政拨款支出决算表”</w:t>
      </w:r>
      <w:r>
        <w:rPr>
          <w:rFonts w:hint="eastAsia" w:ascii="仿宋_GB2312" w:eastAsia="仿宋_GB2312" w:cs="DengXian-Regular"/>
          <w:sz w:val="32"/>
          <w:szCs w:val="32"/>
        </w:rPr>
        <w:t>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9" w:type="first"/>
          <w:footerReference r:id="rId21" w:type="first"/>
          <w:headerReference r:id="rId18" w:type="default"/>
          <w:footerReference r:id="rId20"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7667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7667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9"/>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2"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4"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7769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769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9"/>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6"/>
        <w:tblpPr w:leftFromText="180" w:rightFromText="180" w:vertAnchor="text" w:horzAnchor="page" w:tblpX="1250" w:tblpY="589"/>
        <w:tblOverlap w:val="never"/>
        <w:tblW w:w="9517" w:type="dxa"/>
        <w:jc w:val="center"/>
        <w:tblInd w:w="0" w:type="dxa"/>
        <w:tblLayout w:type="fixed"/>
        <w:tblCellMar>
          <w:top w:w="0" w:type="dxa"/>
          <w:left w:w="0" w:type="dxa"/>
          <w:bottom w:w="0" w:type="dxa"/>
          <w:right w:w="0" w:type="dxa"/>
        </w:tblCellMar>
      </w:tblPr>
      <w:tblGrid>
        <w:gridCol w:w="3236"/>
        <w:gridCol w:w="561"/>
        <w:gridCol w:w="86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5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3867.82</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220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4025.45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10.21</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4087.82</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4035.66</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31.76</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83.92</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4119.58</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4119.58</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p>
      <w:pPr>
        <w:tabs>
          <w:tab w:val="left" w:pos="886"/>
        </w:tabs>
        <w:jc w:val="left"/>
      </w:pPr>
    </w:p>
    <w:p>
      <w:pPr>
        <w:jc w:val="left"/>
      </w:pPr>
    </w:p>
    <w:tbl>
      <w:tblPr>
        <w:tblStyle w:val="6"/>
        <w:tblW w:w="9580" w:type="dxa"/>
        <w:jc w:val="center"/>
        <w:tblInd w:w="0" w:type="dxa"/>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4087.82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3867.82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220</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文化旅游体育与传媒支出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b/>
                <w:color w:val="000000"/>
                <w:sz w:val="22"/>
                <w:lang w:val="en-US" w:eastAsia="zh-CN"/>
              </w:rPr>
              <w:t>4087.82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b/>
                <w:color w:val="000000"/>
                <w:sz w:val="22"/>
                <w:lang w:val="en-US" w:eastAsia="zh-CN"/>
              </w:rPr>
              <w:t>3867.82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220</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广播电视</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3858.82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3858.82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2070801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1458.3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1458.3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2070804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广播</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电视</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2396.53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2396.53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其他文化体育与传媒支出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220</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2079903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文化产业发展专项支出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220</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2079999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其他文化体育与传媒支出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4035.66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2983.51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1052.15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文化旅游体育与传媒支出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4025.45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2983.51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1041.94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广播电视</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3826.97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2974.51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852.46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1458.29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1458.29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广播</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电视</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2364.68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1512.22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852.46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198.48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189.48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2079903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文化产业发展专项支出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189.48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189.48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2079999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其他支出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彩票公益金安排的支出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用于文化事业的彩票公益金支出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662" w:type="dxa"/>
        <w:jc w:val="center"/>
        <w:tblInd w:w="0" w:type="dxa"/>
        <w:tblLayout w:type="fixed"/>
        <w:tblCellMar>
          <w:top w:w="0" w:type="dxa"/>
          <w:left w:w="0" w:type="dxa"/>
          <w:bottom w:w="0" w:type="dxa"/>
          <w:right w:w="0" w:type="dxa"/>
        </w:tblCellMar>
      </w:tblPr>
      <w:tblGrid>
        <w:gridCol w:w="2601"/>
        <w:gridCol w:w="475"/>
        <w:gridCol w:w="861"/>
        <w:gridCol w:w="2850"/>
        <w:gridCol w:w="369"/>
        <w:gridCol w:w="720"/>
        <w:gridCol w:w="855"/>
        <w:gridCol w:w="931"/>
      </w:tblGrid>
      <w:tr>
        <w:tblPrEx>
          <w:tblLayout w:type="fixed"/>
          <w:tblCellMar>
            <w:top w:w="0" w:type="dxa"/>
            <w:left w:w="0" w:type="dxa"/>
            <w:bottom w:w="0" w:type="dxa"/>
            <w:right w:w="0" w:type="dxa"/>
          </w:tblCellMar>
        </w:tblPrEx>
        <w:trPr>
          <w:trHeight w:val="406" w:hRule="atLeast"/>
          <w:jc w:val="center"/>
        </w:trPr>
        <w:tc>
          <w:tcPr>
            <w:tcW w:w="9662"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4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393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72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6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8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3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72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9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6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3867.82</w:t>
            </w: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0"/>
                <w:szCs w:val="20"/>
                <w:lang w:bidi="ar"/>
              </w:rPr>
              <w:t>二、政府性基金预算财政拨款</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3835.97</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3835.97</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二十一、灾害防治及应急管理支出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二十二、其他支出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二十四、债务付息支出</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3867.82</w:t>
            </w: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本年支出合计</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18"/>
                <w:szCs w:val="18"/>
                <w:lang w:val="en-US" w:eastAsia="zh-CN"/>
              </w:rPr>
              <w:t>3835.97</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8"/>
                <w:szCs w:val="18"/>
                <w:lang w:val="en-US" w:eastAsia="zh-CN"/>
              </w:rPr>
              <w:t>3835.97</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21.55</w:t>
            </w: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年末财政拨款结转和结余</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53.4</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53.4</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21.55</w:t>
            </w: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0"/>
                <w:szCs w:val="20"/>
                <w:lang w:bidi="ar"/>
              </w:rPr>
              <w:t>二、政府性基金预算财政拨款</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6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0"/>
                <w:szCs w:val="20"/>
                <w:lang w:val="en-US" w:eastAsia="zh-CN"/>
              </w:rPr>
              <w:t>3889.37</w:t>
            </w:r>
          </w:p>
        </w:tc>
        <w:tc>
          <w:tcPr>
            <w:tcW w:w="2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3889.37</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0"/>
                <w:szCs w:val="20"/>
                <w:lang w:val="en-US" w:eastAsia="zh-CN"/>
              </w:rPr>
              <w:t>3889.37</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662"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3835.97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2983.51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852.47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文化旅游体育与传媒支出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3835.97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2983.51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852.47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广播电视</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3826.97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2974.51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852.47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1458.29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1458.29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广播</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2070805</w:t>
            </w:r>
          </w:p>
        </w:tc>
        <w:tc>
          <w:tcPr>
            <w:tcW w:w="169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电视</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2364.68</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1512.22</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852.47</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20799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其他文化体育与传媒支出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2079999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其他文化体育与传媒支出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廊坊市香河县融媒体中心（本级）</w:t>
            </w: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2331.98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463.49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714.57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67.63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388.77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10.25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433.58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9.95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6.16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366.62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18"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128.59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42.05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64.11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28.47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60.36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13.64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92.01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13.08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73.74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188.04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19.72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28.78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18.24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169.80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141.13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11.71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12.32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20.44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2520.02</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463.49</w:t>
            </w:r>
          </w:p>
        </w:tc>
      </w:tr>
    </w:tbl>
    <w:p>
      <w:r>
        <w:br w:type="page"/>
      </w:r>
    </w:p>
    <w:tbl>
      <w:tblPr>
        <w:tblStyle w:val="6"/>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168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Arial" w:hAnsi="Arial" w:cs="Arial" w:eastAsiaTheme="minorEastAsia"/>
                <w:color w:val="000000"/>
                <w:sz w:val="20"/>
                <w:szCs w:val="20"/>
                <w:lang w:eastAsia="zh-CN"/>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1.97</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1.97</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sz w:val="22"/>
          <w:szCs w:val="22"/>
          <w:highlight w:val="none"/>
        </w:rPr>
        <w:t>本部门本年度无相关收入（或支出、收支及结转结余等）情况，按要求空表列示。</w:t>
      </w:r>
      <w:r>
        <w:br w:type="page"/>
      </w:r>
    </w:p>
    <w:tbl>
      <w:tblPr>
        <w:tblStyle w:val="6"/>
        <w:tblW w:w="9915" w:type="dxa"/>
        <w:jc w:val="center"/>
        <w:tblInd w:w="0" w:type="dxa"/>
        <w:tblLayout w:type="fixed"/>
        <w:tblCellMar>
          <w:top w:w="0" w:type="dxa"/>
          <w:left w:w="0" w:type="dxa"/>
          <w:bottom w:w="0" w:type="dxa"/>
          <w:right w:w="0" w:type="dxa"/>
        </w:tblCellMar>
      </w:tblPr>
      <w:tblGrid>
        <w:gridCol w:w="1122"/>
        <w:gridCol w:w="240"/>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1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1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廊坊市香河县融媒体中心（本级）</w:t>
            </w: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sz w:val="22"/>
          <w:szCs w:val="22"/>
          <w:highlight w:val="none"/>
        </w:rPr>
        <w:t>本部门本年度无相关收入（或支出、收支及结转结余等）情况，按要求空表列示。</w:t>
      </w:r>
      <w:r>
        <w:br w:type="page"/>
      </w:r>
    </w:p>
    <w:p>
      <w:r>
        <mc:AlternateContent>
          <mc:Choice Requires="wps">
            <w:drawing>
              <wp:anchor distT="0" distB="0" distL="114300" distR="114300" simplePos="0" relativeHeight="25167872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872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6" w:type="first"/>
      <w:headerReference r:id="rId25" w:type="default"/>
      <w:footerReference r:id="rId27"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仿宋_GB2312">
    <w:altName w:val="仿宋"/>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4DCB26"/>
    <w:multiLevelType w:val="singleLevel"/>
    <w:tmpl w:val="CB4DCB26"/>
    <w:lvl w:ilvl="0" w:tentative="0">
      <w:start w:val="3"/>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07CED"/>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76C6F"/>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4491400"/>
    <w:rsid w:val="0464544B"/>
    <w:rsid w:val="04C516DC"/>
    <w:rsid w:val="04E4085C"/>
    <w:rsid w:val="05B00A30"/>
    <w:rsid w:val="07CB4A3D"/>
    <w:rsid w:val="09DC7FCE"/>
    <w:rsid w:val="0B011416"/>
    <w:rsid w:val="0C24408F"/>
    <w:rsid w:val="0DE30D3E"/>
    <w:rsid w:val="103818F5"/>
    <w:rsid w:val="13CE4048"/>
    <w:rsid w:val="17DB22FD"/>
    <w:rsid w:val="195C0B3C"/>
    <w:rsid w:val="1C6761EA"/>
    <w:rsid w:val="200378FC"/>
    <w:rsid w:val="20C36309"/>
    <w:rsid w:val="21BF0A12"/>
    <w:rsid w:val="22D7693C"/>
    <w:rsid w:val="2624425F"/>
    <w:rsid w:val="2AF005BA"/>
    <w:rsid w:val="2B5B0FDE"/>
    <w:rsid w:val="2EF15DD5"/>
    <w:rsid w:val="2F747901"/>
    <w:rsid w:val="300649CB"/>
    <w:rsid w:val="31C2036A"/>
    <w:rsid w:val="320D02A5"/>
    <w:rsid w:val="329F04D8"/>
    <w:rsid w:val="348E566F"/>
    <w:rsid w:val="3767385F"/>
    <w:rsid w:val="390F74FD"/>
    <w:rsid w:val="39E63691"/>
    <w:rsid w:val="3A226944"/>
    <w:rsid w:val="3AEE6A48"/>
    <w:rsid w:val="3C1620AA"/>
    <w:rsid w:val="3CB9052A"/>
    <w:rsid w:val="3D4A451B"/>
    <w:rsid w:val="3D8F080F"/>
    <w:rsid w:val="3E076FCF"/>
    <w:rsid w:val="3E341473"/>
    <w:rsid w:val="3F032B99"/>
    <w:rsid w:val="409E0E87"/>
    <w:rsid w:val="42500A1C"/>
    <w:rsid w:val="44981838"/>
    <w:rsid w:val="44CE1FA4"/>
    <w:rsid w:val="450E4084"/>
    <w:rsid w:val="47565438"/>
    <w:rsid w:val="487F73ED"/>
    <w:rsid w:val="493262A3"/>
    <w:rsid w:val="4A347EAE"/>
    <w:rsid w:val="50CE219C"/>
    <w:rsid w:val="52600405"/>
    <w:rsid w:val="529B4319"/>
    <w:rsid w:val="54D371BA"/>
    <w:rsid w:val="551B1F3B"/>
    <w:rsid w:val="56093E90"/>
    <w:rsid w:val="56430609"/>
    <w:rsid w:val="57773DD6"/>
    <w:rsid w:val="578B79AB"/>
    <w:rsid w:val="57C23953"/>
    <w:rsid w:val="58E76125"/>
    <w:rsid w:val="5B6F7BFC"/>
    <w:rsid w:val="5CCD3FD5"/>
    <w:rsid w:val="5F245B30"/>
    <w:rsid w:val="61936200"/>
    <w:rsid w:val="61FA5F9D"/>
    <w:rsid w:val="63593DFE"/>
    <w:rsid w:val="64280A26"/>
    <w:rsid w:val="64CD6910"/>
    <w:rsid w:val="6789158D"/>
    <w:rsid w:val="67D81BA4"/>
    <w:rsid w:val="67FF73A9"/>
    <w:rsid w:val="68EC0296"/>
    <w:rsid w:val="6A010DAD"/>
    <w:rsid w:val="6A9832D1"/>
    <w:rsid w:val="6AAF1C96"/>
    <w:rsid w:val="6BD61F27"/>
    <w:rsid w:val="6DD938FF"/>
    <w:rsid w:val="6E712470"/>
    <w:rsid w:val="6EC46F3F"/>
    <w:rsid w:val="6EF74DD2"/>
    <w:rsid w:val="706E74F6"/>
    <w:rsid w:val="718764F1"/>
    <w:rsid w:val="74F5059F"/>
    <w:rsid w:val="75681757"/>
    <w:rsid w:val="75A346A8"/>
    <w:rsid w:val="76187443"/>
    <w:rsid w:val="783D02E8"/>
    <w:rsid w:val="78F66E5A"/>
    <w:rsid w:val="798512A3"/>
    <w:rsid w:val="79B9382C"/>
    <w:rsid w:val="7A6F0D1E"/>
    <w:rsid w:val="7B043B76"/>
    <w:rsid w:val="7B2C4E97"/>
    <w:rsid w:val="7C041A6A"/>
    <w:rsid w:val="7C2778C6"/>
    <w:rsid w:val="7E327570"/>
    <w:rsid w:val="7FAA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bmp"/><Relationship Id="rId28" Type="http://schemas.openxmlformats.org/officeDocument/2006/relationships/theme" Target="theme/theme1.xml"/><Relationship Id="rId27" Type="http://schemas.openxmlformats.org/officeDocument/2006/relationships/footer" Target="footer10.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2</TotalTime>
  <ScaleCrop>false</ScaleCrop>
  <LinksUpToDate>false</LinksUpToDate>
  <CharactersWithSpaces>11119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sunny</cp:lastModifiedBy>
  <cp:lastPrinted>2020-07-30T02:37:00Z</cp:lastPrinted>
  <dcterms:modified xsi:type="dcterms:W3CDTF">2021-05-27T03:05:09Z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